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AB0C9E" w:rsidRDefault="008027DB">
                            <w:pPr>
                              <w:spacing w:after="0" w:line="240" w:lineRule="auto"/>
                              <w:jc w:val="center"/>
                              <w:rPr>
                                <w:rFonts w:ascii="Calibri" w:hAnsi="Calibri" w:cs="Calibri"/>
                                <w:color w:val="4F81BD"/>
                                <w:sz w:val="24"/>
                              </w:rPr>
                            </w:pPr>
                            <w:r w:rsidRPr="00AB0C9E">
                              <w:rPr>
                                <w:rFonts w:ascii="Calibri" w:hAnsi="Calibri" w:cs="Calibri"/>
                                <w:color w:val="4F81BD"/>
                                <w:sz w:val="24"/>
                              </w:rPr>
                              <w:t>ΕΛΛΗΝΙΚΗ ΔΗΜΟΚΡΑΤΙΑ</w:t>
                            </w:r>
                          </w:p>
                          <w:p w14:paraId="6A187909" w14:textId="56837FFA" w:rsidR="008027DB" w:rsidRPr="00AB0C9E" w:rsidRDefault="008027DB">
                            <w:pPr>
                              <w:spacing w:after="0" w:line="240" w:lineRule="auto"/>
                              <w:jc w:val="center"/>
                              <w:rPr>
                                <w:rFonts w:ascii="Calibri" w:hAnsi="Calibri" w:cs="Calibri"/>
                                <w:color w:val="4F81BD"/>
                                <w:sz w:val="24"/>
                              </w:rPr>
                            </w:pPr>
                            <w:r w:rsidRPr="00AB0C9E">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AB0C9E" w:rsidRDefault="008027DB">
                      <w:pPr>
                        <w:spacing w:after="0" w:line="240" w:lineRule="auto"/>
                        <w:jc w:val="center"/>
                        <w:rPr>
                          <w:rFonts w:ascii="Calibri" w:hAnsi="Calibri" w:cs="Calibri"/>
                          <w:color w:val="4F81BD"/>
                          <w:sz w:val="24"/>
                        </w:rPr>
                      </w:pPr>
                      <w:r w:rsidRPr="00AB0C9E">
                        <w:rPr>
                          <w:rFonts w:ascii="Calibri" w:hAnsi="Calibri" w:cs="Calibri"/>
                          <w:color w:val="4F81BD"/>
                          <w:sz w:val="24"/>
                        </w:rPr>
                        <w:t>ΕΛΛΗΝΙΚΗ ΔΗΜΟΚΡΑΤΙΑ</w:t>
                      </w:r>
                    </w:p>
                    <w:p w14:paraId="6A187909" w14:textId="56837FFA" w:rsidR="008027DB" w:rsidRPr="00AB0C9E" w:rsidRDefault="008027DB">
                      <w:pPr>
                        <w:spacing w:after="0" w:line="240" w:lineRule="auto"/>
                        <w:jc w:val="center"/>
                        <w:rPr>
                          <w:rFonts w:ascii="Calibri" w:hAnsi="Calibri" w:cs="Calibri"/>
                          <w:color w:val="4F81BD"/>
                          <w:sz w:val="24"/>
                        </w:rPr>
                      </w:pPr>
                      <w:r w:rsidRPr="00AB0C9E">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197FBB8D" w:rsidR="008A0235" w:rsidRDefault="00E3645F" w:rsidP="00E3645F">
      <w:pPr>
        <w:pStyle w:val="af"/>
        <w:jc w:val="right"/>
        <w:rPr>
          <w:rFonts w:ascii="Calibri" w:hAnsi="Calibri" w:cs="Calibri"/>
          <w:sz w:val="24"/>
          <w:szCs w:val="24"/>
          <w:lang w:val="en-US"/>
        </w:rPr>
      </w:pPr>
      <w:r>
        <w:rPr>
          <w:rFonts w:ascii="Calibri" w:hAnsi="Calibri" w:cs="Calibri"/>
          <w:sz w:val="24"/>
          <w:szCs w:val="24"/>
        </w:rPr>
        <w:t>Αθήνα,</w:t>
      </w:r>
      <w:r w:rsidR="00AB0C9E">
        <w:rPr>
          <w:rFonts w:ascii="Calibri" w:hAnsi="Calibri" w:cs="Calibri"/>
          <w:sz w:val="24"/>
          <w:szCs w:val="24"/>
          <w:lang w:val="en-US"/>
        </w:rPr>
        <w:t xml:space="preserve"> 22</w:t>
      </w:r>
      <w:r w:rsidR="00AB0C9E">
        <w:rPr>
          <w:rFonts w:ascii="Calibri" w:hAnsi="Calibri" w:cs="Calibri"/>
          <w:sz w:val="24"/>
          <w:szCs w:val="24"/>
        </w:rPr>
        <w:t xml:space="preserve"> Μαΐου</w:t>
      </w:r>
      <w:r>
        <w:rPr>
          <w:rFonts w:ascii="Calibri" w:hAnsi="Calibri" w:cs="Calibri"/>
          <w:sz w:val="24"/>
          <w:szCs w:val="24"/>
        </w:rPr>
        <w:t xml:space="preserve"> 202</w:t>
      </w:r>
      <w:r w:rsidR="00DA5D51">
        <w:rPr>
          <w:rFonts w:ascii="Calibri" w:hAnsi="Calibri" w:cs="Calibri"/>
          <w:sz w:val="24"/>
          <w:szCs w:val="24"/>
          <w:lang w:val="en-US"/>
        </w:rPr>
        <w:t>4</w:t>
      </w:r>
    </w:p>
    <w:p w14:paraId="544ACB44" w14:textId="5464CEA3" w:rsidR="00AB0C9E" w:rsidRDefault="00AB0C9E" w:rsidP="00E3645F">
      <w:pPr>
        <w:pStyle w:val="af"/>
        <w:jc w:val="right"/>
        <w:rPr>
          <w:rFonts w:ascii="Calibri" w:hAnsi="Calibri" w:cs="Calibri"/>
          <w:sz w:val="24"/>
          <w:szCs w:val="24"/>
          <w:lang w:val="en-US"/>
        </w:rPr>
      </w:pPr>
    </w:p>
    <w:p w14:paraId="3A582260" w14:textId="622B8A93" w:rsidR="00AB0C9E" w:rsidRDefault="00AB0C9E" w:rsidP="00AB0C9E">
      <w:pPr>
        <w:pStyle w:val="af"/>
        <w:jc w:val="both"/>
        <w:rPr>
          <w:rFonts w:ascii="Calibri" w:hAnsi="Calibri" w:cs="Calibri"/>
          <w:sz w:val="24"/>
          <w:szCs w:val="24"/>
          <w:lang w:val="en-US"/>
        </w:rPr>
      </w:pPr>
    </w:p>
    <w:p w14:paraId="554CFB45" w14:textId="62D87FE3" w:rsidR="00AB0C9E" w:rsidRDefault="00AB0C9E" w:rsidP="00AB0C9E">
      <w:pPr>
        <w:spacing w:after="0" w:line="360" w:lineRule="auto"/>
        <w:jc w:val="center"/>
        <w:rPr>
          <w:rFonts w:asciiTheme="minorHAnsi" w:eastAsia="Times New Roman" w:hAnsiTheme="minorHAnsi" w:cstheme="minorHAnsi"/>
          <w:b/>
          <w:sz w:val="24"/>
          <w:szCs w:val="20"/>
          <w:lang w:eastAsia="el-GR"/>
        </w:rPr>
      </w:pPr>
      <w:r w:rsidRPr="00AB0C9E">
        <w:rPr>
          <w:rFonts w:asciiTheme="minorHAnsi" w:eastAsia="Times New Roman" w:hAnsiTheme="minorHAnsi" w:cstheme="minorHAnsi"/>
          <w:b/>
          <w:sz w:val="24"/>
          <w:szCs w:val="20"/>
          <w:lang w:eastAsia="el-GR"/>
        </w:rPr>
        <w:t>Πράσινες Πολιτιστικές Διαδρομές 23-26 Μαΐου 2024</w:t>
      </w:r>
    </w:p>
    <w:p w14:paraId="26AF21C0" w14:textId="77777777" w:rsidR="00AB0C9E" w:rsidRPr="00AB0C9E" w:rsidRDefault="00AB0C9E" w:rsidP="00AB0C9E">
      <w:pPr>
        <w:spacing w:after="0" w:line="360" w:lineRule="auto"/>
        <w:jc w:val="center"/>
        <w:rPr>
          <w:rFonts w:asciiTheme="minorHAnsi" w:eastAsia="Times New Roman" w:hAnsiTheme="minorHAnsi" w:cstheme="minorHAnsi"/>
          <w:b/>
          <w:sz w:val="24"/>
          <w:szCs w:val="20"/>
          <w:lang w:eastAsia="el-GR"/>
        </w:rPr>
      </w:pPr>
    </w:p>
    <w:p w14:paraId="05506455" w14:textId="27AE8703" w:rsidR="00AB0C9E" w:rsidRPr="00AB0C9E" w:rsidRDefault="00AB0C9E" w:rsidP="00AB0C9E">
      <w:pPr>
        <w:spacing w:after="0" w:line="360" w:lineRule="auto"/>
        <w:jc w:val="both"/>
        <w:rPr>
          <w:rFonts w:asciiTheme="minorHAnsi" w:eastAsia="Times New Roman" w:hAnsiTheme="minorHAnsi" w:cstheme="minorHAnsi"/>
          <w:sz w:val="24"/>
          <w:szCs w:val="20"/>
          <w:lang w:eastAsia="el-GR"/>
        </w:rPr>
      </w:pPr>
      <w:r w:rsidRPr="00AB0C9E">
        <w:rPr>
          <w:rFonts w:asciiTheme="minorHAnsi" w:eastAsia="Times New Roman" w:hAnsiTheme="minorHAnsi" w:cstheme="minorHAnsi"/>
          <w:sz w:val="24"/>
          <w:szCs w:val="20"/>
          <w:lang w:eastAsia="el-GR"/>
        </w:rPr>
        <w:t xml:space="preserve">Το Υπουργείο Πολιτισμού διοργανώνει και φέτος από τις 23 έως τις 26 Μαΐου σε όλη τη χώρα, την επικοινωνιακή δράση «Πράσινες Πολιτιστικές Διαδρομές» με πλήθος εκδηλώσεων για το ευρύ κοινό και τη μαθητική κοινότητα. </w:t>
      </w:r>
    </w:p>
    <w:p w14:paraId="7825B152" w14:textId="77777777" w:rsidR="00AB0C9E" w:rsidRPr="00AB0C9E" w:rsidRDefault="00AB0C9E" w:rsidP="00AB0C9E">
      <w:pPr>
        <w:spacing w:after="0" w:line="360" w:lineRule="auto"/>
        <w:jc w:val="both"/>
        <w:rPr>
          <w:rFonts w:asciiTheme="minorHAnsi" w:eastAsia="Times New Roman" w:hAnsiTheme="minorHAnsi" w:cstheme="minorHAnsi"/>
          <w:sz w:val="24"/>
          <w:szCs w:val="20"/>
          <w:lang w:eastAsia="el-GR"/>
        </w:rPr>
      </w:pPr>
      <w:r w:rsidRPr="00AB0C9E">
        <w:rPr>
          <w:rFonts w:asciiTheme="minorHAnsi" w:eastAsia="Times New Roman" w:hAnsiTheme="minorHAnsi" w:cstheme="minorHAnsi"/>
          <w:b/>
          <w:sz w:val="24"/>
          <w:szCs w:val="20"/>
          <w:lang w:eastAsia="el-GR"/>
        </w:rPr>
        <w:t>Η είσοδος για τις εκδηλώσεις είναι ελεύθερη για τους συμμετέχοντες</w:t>
      </w:r>
      <w:r w:rsidRPr="00AB0C9E">
        <w:rPr>
          <w:rFonts w:asciiTheme="minorHAnsi" w:eastAsia="Times New Roman" w:hAnsiTheme="minorHAnsi" w:cstheme="minorHAnsi"/>
          <w:sz w:val="24"/>
          <w:szCs w:val="20"/>
          <w:lang w:eastAsia="el-GR"/>
        </w:rPr>
        <w:t>.</w:t>
      </w:r>
    </w:p>
    <w:p w14:paraId="59108994" w14:textId="77777777" w:rsidR="00AB0C9E" w:rsidRPr="00AB0C9E" w:rsidRDefault="00AB0C9E" w:rsidP="00AB0C9E">
      <w:pPr>
        <w:spacing w:after="0" w:line="360" w:lineRule="auto"/>
        <w:jc w:val="both"/>
        <w:rPr>
          <w:rFonts w:asciiTheme="minorHAnsi" w:eastAsia="Times New Roman" w:hAnsiTheme="minorHAnsi" w:cstheme="minorHAnsi"/>
          <w:sz w:val="24"/>
          <w:szCs w:val="20"/>
          <w:lang w:eastAsia="el-GR"/>
        </w:rPr>
      </w:pPr>
    </w:p>
    <w:p w14:paraId="6A7AD718" w14:textId="77777777" w:rsidR="00AB0C9E" w:rsidRPr="00AB0C9E" w:rsidRDefault="00AB0C9E" w:rsidP="00AB0C9E">
      <w:pPr>
        <w:spacing w:after="0" w:line="360" w:lineRule="auto"/>
        <w:jc w:val="both"/>
        <w:rPr>
          <w:rFonts w:asciiTheme="minorHAnsi" w:eastAsia="Times New Roman" w:hAnsiTheme="minorHAnsi" w:cstheme="minorHAnsi"/>
          <w:sz w:val="24"/>
          <w:szCs w:val="20"/>
          <w:lang w:eastAsia="el-GR"/>
        </w:rPr>
      </w:pPr>
      <w:r w:rsidRPr="00AB0C9E">
        <w:rPr>
          <w:rFonts w:asciiTheme="minorHAnsi" w:eastAsia="Times New Roman" w:hAnsiTheme="minorHAnsi" w:cstheme="minorHAnsi"/>
          <w:sz w:val="24"/>
          <w:szCs w:val="20"/>
          <w:lang w:eastAsia="el-GR"/>
        </w:rPr>
        <w:t>Οι «Πράσινες Πολιτιστικές Διαδρομές» σχεδιάστηκαν από τη Διεύθυνση Αρχαιολογικών Μουσείων, Εκθέσεων και Εκπαιδευτικών Προγραμμάτων στο πλαίσιο της συμμετοχής στο Εθνικό Σχέδιο Δράσης για την Εκπαίδευση στην Αειφόρο Ανάπτυξη. Σκοπός της δράσης είναι η προαγωγή της βιώσιμης ανάπτυξης με την εκπαίδευση των πολιτών σε θέματα προστασίας και ανάδειξης του πολιτιστικού πλούτου και του φυσικού περιβάλλοντος της χώρας. Η δράση εφαρμόστηκε για πρώτη φορά το 2012 σε 3 Περιφερειακές Ενότητες και έκτοτε συνεχώς διευρύνεται με τη συμμετοχή το 2023 φορέων από 37 Περιφερειακές Ενότητες.</w:t>
      </w:r>
    </w:p>
    <w:p w14:paraId="059A95E1" w14:textId="77777777" w:rsidR="00AB0C9E" w:rsidRPr="00AB0C9E" w:rsidRDefault="00AB0C9E" w:rsidP="00AB0C9E">
      <w:pPr>
        <w:spacing w:after="0" w:line="360" w:lineRule="auto"/>
        <w:jc w:val="both"/>
        <w:rPr>
          <w:rFonts w:asciiTheme="minorHAnsi" w:eastAsia="Times New Roman" w:hAnsiTheme="minorHAnsi" w:cstheme="minorHAnsi"/>
          <w:sz w:val="24"/>
          <w:szCs w:val="20"/>
          <w:lang w:eastAsia="el-GR"/>
        </w:rPr>
      </w:pPr>
      <w:r w:rsidRPr="00AB0C9E">
        <w:rPr>
          <w:rFonts w:asciiTheme="minorHAnsi" w:eastAsia="Times New Roman" w:hAnsiTheme="minorHAnsi" w:cstheme="minorHAnsi"/>
          <w:sz w:val="24"/>
          <w:szCs w:val="20"/>
          <w:lang w:eastAsia="el-GR"/>
        </w:rPr>
        <w:t>Στο φετινό εορτασμό συμμετέχουν 49 Περιφερειακές και Ειδικές Περιφερειακές Υπηρεσίες της Γενικής Διεύθυνσης Αρχαιοτήτων και Πολιτιστικής Κληρονομιάς από 36 Περιφερειακές Ενότητες της Επικράτειας σε συνεργασία με 20 Δήμους, 21 Διευθύνσεις Πρωτοβάθμιας και Δευτεροβάθμιας Εκπαίδευσης του ΥΠΑΙΘΑ, καθώς και πολλά μη δημόσια μουσεία, Ιερές Μητροπόλεις, Κέντρα Περιβαλλοντικής Εκπαίδευσης, Πανεπιστημιακές Σχολές, σχολεία, πολιτιστικούς συλλόγους, περιβαλλοντικές οργανώσεις, σωματεία και συνεταιρισμούς πολιτών, αλλά και με πολλούς εθελοντές.</w:t>
      </w:r>
    </w:p>
    <w:p w14:paraId="16748A45" w14:textId="77777777" w:rsidR="00AB0C9E" w:rsidRPr="00AB0C9E" w:rsidRDefault="00AB0C9E" w:rsidP="00AB0C9E">
      <w:pPr>
        <w:spacing w:after="0" w:line="360" w:lineRule="auto"/>
        <w:jc w:val="both"/>
        <w:rPr>
          <w:rFonts w:asciiTheme="minorHAnsi" w:eastAsia="Times New Roman" w:hAnsiTheme="minorHAnsi" w:cstheme="minorHAnsi"/>
          <w:sz w:val="24"/>
          <w:szCs w:val="20"/>
          <w:lang w:eastAsia="el-GR"/>
        </w:rPr>
      </w:pPr>
    </w:p>
    <w:p w14:paraId="0FE92F05" w14:textId="77777777" w:rsidR="00AB0C9E" w:rsidRPr="00AB0C9E" w:rsidRDefault="00AB0C9E" w:rsidP="00AB0C9E">
      <w:pPr>
        <w:spacing w:after="225" w:line="360" w:lineRule="auto"/>
        <w:jc w:val="both"/>
        <w:textAlignment w:val="top"/>
        <w:rPr>
          <w:rFonts w:asciiTheme="minorHAnsi" w:eastAsia="Times New Roman" w:hAnsiTheme="minorHAnsi" w:cstheme="minorHAnsi"/>
          <w:color w:val="2E3233"/>
          <w:sz w:val="24"/>
          <w:szCs w:val="20"/>
          <w:lang w:eastAsia="el-GR"/>
        </w:rPr>
      </w:pPr>
      <w:r w:rsidRPr="00AB0C9E">
        <w:rPr>
          <w:rFonts w:asciiTheme="minorHAnsi" w:eastAsia="Times New Roman" w:hAnsiTheme="minorHAnsi" w:cstheme="minorHAnsi"/>
          <w:color w:val="2E3233"/>
          <w:sz w:val="24"/>
          <w:szCs w:val="20"/>
          <w:lang w:eastAsia="el-GR"/>
        </w:rPr>
        <w:lastRenderedPageBreak/>
        <w:t xml:space="preserve">Από την Πέμπτη 23 έως την Κυριακή 26 Μαΐου οι διοργανωτές προσκαλούν το κοινό να ενημερωθεί αλλά και να ψυχαγωγηθεί συμμετέχοντας σε ενημερωτικές παρουσιάσεις, εκπαιδευτικά προγράμματα, θεματικές ξεναγήσεις, περιηγήσεις, περιπάτους, πεζοπορίες, ποδηλατικές διαδρομές, καλλιτεχνικά δρώμενα κ.ά. </w:t>
      </w:r>
    </w:p>
    <w:p w14:paraId="7FBD7DE6" w14:textId="544B6CF4" w:rsidR="00AB0C9E" w:rsidRPr="00AB0C9E" w:rsidRDefault="00AB0C9E" w:rsidP="00AB0C9E">
      <w:pPr>
        <w:spacing w:after="225" w:line="360" w:lineRule="auto"/>
        <w:jc w:val="both"/>
        <w:textAlignment w:val="top"/>
        <w:rPr>
          <w:rFonts w:asciiTheme="minorHAnsi" w:eastAsia="Times New Roman" w:hAnsiTheme="minorHAnsi" w:cstheme="minorHAnsi"/>
          <w:color w:val="2E3233"/>
          <w:sz w:val="24"/>
          <w:szCs w:val="20"/>
          <w:lang w:eastAsia="el-GR"/>
        </w:rPr>
      </w:pPr>
      <w:r>
        <w:rPr>
          <w:rFonts w:asciiTheme="minorHAnsi" w:eastAsia="Times New Roman" w:hAnsiTheme="minorHAnsi" w:cstheme="minorHAnsi"/>
          <w:color w:val="2E3233"/>
          <w:sz w:val="24"/>
          <w:szCs w:val="20"/>
          <w:lang w:eastAsia="el-GR"/>
        </w:rPr>
        <w:t>Ε</w:t>
      </w:r>
      <w:r w:rsidRPr="00AB0C9E">
        <w:rPr>
          <w:rFonts w:asciiTheme="minorHAnsi" w:eastAsia="Times New Roman" w:hAnsiTheme="minorHAnsi" w:cstheme="minorHAnsi"/>
          <w:color w:val="2E3233"/>
          <w:sz w:val="24"/>
          <w:szCs w:val="20"/>
          <w:lang w:eastAsia="el-GR"/>
        </w:rPr>
        <w:t>πισημαίνεται ότι είναι απαραίτητη η δήλωση συμμετοχής στις αρμόδιες διοργανώτριες Υπηρεσίες.</w:t>
      </w:r>
    </w:p>
    <w:p w14:paraId="2393CB68" w14:textId="77777777" w:rsidR="00AB0C9E" w:rsidRPr="00AB0C9E" w:rsidRDefault="00AB0C9E" w:rsidP="00AB0C9E">
      <w:pPr>
        <w:spacing w:after="225" w:line="360" w:lineRule="auto"/>
        <w:jc w:val="both"/>
        <w:textAlignment w:val="top"/>
        <w:rPr>
          <w:rFonts w:asciiTheme="minorHAnsi" w:eastAsia="Times New Roman" w:hAnsiTheme="minorHAnsi" w:cstheme="minorHAnsi"/>
          <w:sz w:val="24"/>
          <w:szCs w:val="20"/>
          <w:lang w:eastAsia="el-GR"/>
        </w:rPr>
      </w:pPr>
      <w:r w:rsidRPr="00AB0C9E">
        <w:rPr>
          <w:rFonts w:asciiTheme="minorHAnsi" w:eastAsia="Times New Roman" w:hAnsiTheme="minorHAnsi" w:cstheme="minorHAnsi"/>
          <w:color w:val="2E3233"/>
          <w:sz w:val="24"/>
          <w:szCs w:val="20"/>
          <w:lang w:eastAsia="el-GR"/>
        </w:rPr>
        <w:t>Επισυνάπτεται ο πλήρης κατάλογος των εκδηλώσεων.</w:t>
      </w:r>
    </w:p>
    <w:p w14:paraId="77EF0927" w14:textId="77777777" w:rsidR="00AB0C9E" w:rsidRPr="00AB0C9E" w:rsidRDefault="00AB0C9E" w:rsidP="00AB0C9E">
      <w:pPr>
        <w:spacing w:after="0" w:line="360" w:lineRule="auto"/>
        <w:jc w:val="both"/>
        <w:rPr>
          <w:rFonts w:asciiTheme="minorHAnsi" w:eastAsia="Times New Roman" w:hAnsiTheme="minorHAnsi" w:cstheme="minorHAnsi"/>
          <w:sz w:val="24"/>
          <w:szCs w:val="20"/>
          <w:lang w:eastAsia="el-GR"/>
        </w:rPr>
      </w:pPr>
    </w:p>
    <w:p w14:paraId="42BFE7A0" w14:textId="77777777" w:rsidR="00AB0C9E" w:rsidRPr="00AB0C9E" w:rsidRDefault="00AB0C9E" w:rsidP="00AB0C9E">
      <w:pPr>
        <w:spacing w:after="0" w:line="240" w:lineRule="auto"/>
        <w:jc w:val="both"/>
        <w:rPr>
          <w:rFonts w:asciiTheme="minorHAnsi" w:eastAsia="Times New Roman" w:hAnsiTheme="minorHAnsi" w:cstheme="minorHAnsi"/>
          <w:sz w:val="24"/>
          <w:szCs w:val="20"/>
          <w:lang w:eastAsia="el-GR"/>
        </w:rPr>
      </w:pPr>
    </w:p>
    <w:p w14:paraId="5725AB08" w14:textId="77777777" w:rsidR="00AB0C9E" w:rsidRPr="00AB0C9E" w:rsidRDefault="00AB0C9E" w:rsidP="00AB0C9E">
      <w:pPr>
        <w:spacing w:after="0" w:line="240" w:lineRule="auto"/>
        <w:jc w:val="both"/>
        <w:rPr>
          <w:rFonts w:asciiTheme="minorHAnsi" w:eastAsia="Times New Roman" w:hAnsiTheme="minorHAnsi" w:cstheme="minorHAnsi"/>
          <w:sz w:val="24"/>
          <w:szCs w:val="20"/>
          <w:lang w:eastAsia="el-GR"/>
        </w:rPr>
      </w:pPr>
    </w:p>
    <w:p w14:paraId="5B1F3DCD" w14:textId="6D7E43C5" w:rsidR="00AB0C9E" w:rsidRPr="00AB0C9E" w:rsidRDefault="00AB0C9E" w:rsidP="00AB0C9E">
      <w:pPr>
        <w:spacing w:after="0" w:line="360" w:lineRule="auto"/>
        <w:jc w:val="both"/>
        <w:rPr>
          <w:rFonts w:asciiTheme="minorHAnsi" w:eastAsia="Times New Roman" w:hAnsiTheme="minorHAnsi" w:cstheme="minorHAnsi"/>
          <w:b/>
          <w:sz w:val="24"/>
          <w:szCs w:val="20"/>
          <w:lang w:val="en-US" w:eastAsia="el-GR"/>
        </w:rPr>
      </w:pPr>
      <w:r w:rsidRPr="00AB0C9E">
        <w:rPr>
          <w:rFonts w:asciiTheme="minorHAnsi" w:eastAsia="Times New Roman" w:hAnsiTheme="minorHAnsi" w:cstheme="minorHAnsi"/>
          <w:b/>
          <w:sz w:val="24"/>
          <w:szCs w:val="20"/>
          <w:lang w:val="en-US" w:eastAsia="el-GR"/>
        </w:rPr>
        <w:t xml:space="preserve">Green Cultural Routes 2024, May 23-26 </w:t>
      </w:r>
    </w:p>
    <w:p w14:paraId="5892D0E4" w14:textId="77777777" w:rsidR="00AB0C9E" w:rsidRPr="00AB0C9E" w:rsidRDefault="00AB0C9E" w:rsidP="00AB0C9E">
      <w:pPr>
        <w:spacing w:after="0" w:line="360" w:lineRule="auto"/>
        <w:jc w:val="both"/>
        <w:rPr>
          <w:rFonts w:asciiTheme="minorHAnsi" w:eastAsia="Times New Roman" w:hAnsiTheme="minorHAnsi" w:cstheme="minorHAnsi"/>
          <w:b/>
          <w:sz w:val="24"/>
          <w:szCs w:val="20"/>
          <w:lang w:val="en-US" w:eastAsia="el-GR"/>
        </w:rPr>
      </w:pPr>
    </w:p>
    <w:p w14:paraId="1364987E" w14:textId="1FFAD9EC" w:rsidR="00AB0C9E" w:rsidRPr="00AB0C9E" w:rsidRDefault="00AB0C9E" w:rsidP="00AB0C9E">
      <w:pPr>
        <w:spacing w:after="0" w:line="360" w:lineRule="auto"/>
        <w:jc w:val="both"/>
        <w:rPr>
          <w:rFonts w:asciiTheme="minorHAnsi" w:eastAsia="Times New Roman" w:hAnsiTheme="minorHAnsi" w:cstheme="minorHAnsi"/>
          <w:sz w:val="24"/>
          <w:szCs w:val="20"/>
          <w:lang w:val="en-US" w:eastAsia="el-GR"/>
        </w:rPr>
      </w:pPr>
      <w:r w:rsidRPr="00AB0C9E">
        <w:rPr>
          <w:rFonts w:asciiTheme="minorHAnsi" w:eastAsia="Times New Roman" w:hAnsiTheme="minorHAnsi" w:cstheme="minorHAnsi"/>
          <w:sz w:val="24"/>
          <w:szCs w:val="20"/>
          <w:lang w:val="en-US" w:eastAsia="el-GR"/>
        </w:rPr>
        <w:t xml:space="preserve">The Hellenic Ministry of Culture has been organizing since 2012 the </w:t>
      </w:r>
      <w:proofErr w:type="spellStart"/>
      <w:r w:rsidRPr="00AB0C9E">
        <w:rPr>
          <w:rFonts w:asciiTheme="minorHAnsi" w:eastAsia="Times New Roman" w:hAnsiTheme="minorHAnsi" w:cstheme="minorHAnsi"/>
          <w:sz w:val="24"/>
          <w:szCs w:val="20"/>
          <w:lang w:val="en-US" w:eastAsia="el-GR"/>
        </w:rPr>
        <w:t>panhellenic</w:t>
      </w:r>
      <w:proofErr w:type="spellEnd"/>
      <w:r w:rsidRPr="00AB0C9E">
        <w:rPr>
          <w:rFonts w:asciiTheme="minorHAnsi" w:eastAsia="Times New Roman" w:hAnsiTheme="minorHAnsi" w:cstheme="minorHAnsi"/>
          <w:sz w:val="24"/>
          <w:szCs w:val="20"/>
          <w:lang w:val="en-US" w:eastAsia="el-GR"/>
        </w:rPr>
        <w:t xml:space="preserve"> cultural campaign ‘Green Cultural Routes’.</w:t>
      </w:r>
    </w:p>
    <w:p w14:paraId="153ACF33" w14:textId="7587083A" w:rsidR="00AB0C9E" w:rsidRPr="00AB0C9E" w:rsidRDefault="00AB0C9E" w:rsidP="00AB0C9E">
      <w:pPr>
        <w:spacing w:after="0" w:line="360" w:lineRule="auto"/>
        <w:jc w:val="both"/>
        <w:rPr>
          <w:rFonts w:asciiTheme="minorHAnsi" w:eastAsia="Times New Roman" w:hAnsiTheme="minorHAnsi" w:cstheme="minorHAnsi"/>
          <w:sz w:val="24"/>
          <w:szCs w:val="20"/>
          <w:lang w:val="en-US" w:eastAsia="el-GR"/>
        </w:rPr>
      </w:pPr>
      <w:r w:rsidRPr="00AB0C9E">
        <w:rPr>
          <w:rFonts w:asciiTheme="minorHAnsi" w:eastAsia="Times New Roman" w:hAnsiTheme="minorHAnsi" w:cstheme="minorHAnsi"/>
          <w:sz w:val="24"/>
          <w:szCs w:val="20"/>
          <w:lang w:val="en-US" w:eastAsia="el-GR"/>
        </w:rPr>
        <w:t>For 2024 the celebration is taking place between 23rd and 26th of May with the participation of over 180 public and private institutions from 36 prefectures of Greece.</w:t>
      </w:r>
    </w:p>
    <w:p w14:paraId="0C2B9E90" w14:textId="77777777" w:rsidR="00AB0C9E" w:rsidRPr="00AB0C9E" w:rsidRDefault="00AB0C9E" w:rsidP="00AB0C9E">
      <w:pPr>
        <w:spacing w:after="0" w:line="360" w:lineRule="auto"/>
        <w:jc w:val="both"/>
        <w:rPr>
          <w:rFonts w:asciiTheme="minorHAnsi" w:eastAsia="Times New Roman" w:hAnsiTheme="minorHAnsi" w:cstheme="minorHAnsi"/>
          <w:sz w:val="24"/>
          <w:szCs w:val="20"/>
          <w:lang w:val="en-US" w:eastAsia="el-GR"/>
        </w:rPr>
      </w:pPr>
      <w:r w:rsidRPr="00AB0C9E">
        <w:rPr>
          <w:rFonts w:asciiTheme="minorHAnsi" w:eastAsia="Times New Roman" w:hAnsiTheme="minorHAnsi" w:cstheme="minorHAnsi"/>
          <w:sz w:val="24"/>
          <w:szCs w:val="20"/>
          <w:lang w:val="en-US" w:eastAsia="el-GR"/>
        </w:rPr>
        <w:t>Free admission will be provided to the participants to all sites and museums.</w:t>
      </w:r>
    </w:p>
    <w:p w14:paraId="006EB549" w14:textId="77777777" w:rsidR="00AB0C9E" w:rsidRPr="00AB0C9E" w:rsidRDefault="00AB0C9E" w:rsidP="00AB0C9E">
      <w:pPr>
        <w:spacing w:after="0" w:line="360" w:lineRule="auto"/>
        <w:jc w:val="both"/>
        <w:rPr>
          <w:rFonts w:asciiTheme="minorHAnsi" w:eastAsia="Times New Roman" w:hAnsiTheme="minorHAnsi" w:cstheme="minorHAnsi"/>
          <w:sz w:val="24"/>
          <w:szCs w:val="20"/>
          <w:lang w:val="en-US" w:eastAsia="el-GR"/>
        </w:rPr>
      </w:pPr>
    </w:p>
    <w:p w14:paraId="322D6320" w14:textId="77777777" w:rsidR="00AB0C9E" w:rsidRPr="00AB0C9E" w:rsidRDefault="00AB0C9E" w:rsidP="00AB0C9E">
      <w:pPr>
        <w:spacing w:after="0" w:line="360" w:lineRule="auto"/>
        <w:jc w:val="both"/>
        <w:rPr>
          <w:rFonts w:asciiTheme="minorHAnsi" w:eastAsia="Times New Roman" w:hAnsiTheme="minorHAnsi" w:cstheme="minorHAnsi"/>
          <w:sz w:val="24"/>
          <w:szCs w:val="20"/>
          <w:lang w:val="en-US" w:eastAsia="el-GR"/>
        </w:rPr>
      </w:pPr>
      <w:r w:rsidRPr="00AB0C9E">
        <w:rPr>
          <w:rFonts w:asciiTheme="minorHAnsi" w:eastAsia="Times New Roman" w:hAnsiTheme="minorHAnsi" w:cstheme="minorHAnsi"/>
          <w:sz w:val="24"/>
          <w:szCs w:val="20"/>
          <w:lang w:val="en-US" w:eastAsia="el-GR"/>
        </w:rPr>
        <w:t>Green Cultural Routes welcome their audience to actions such as:</w:t>
      </w:r>
    </w:p>
    <w:p w14:paraId="12407F8C" w14:textId="58537C93" w:rsidR="00AB0C9E" w:rsidRPr="00AB0C9E" w:rsidRDefault="00AB0C9E" w:rsidP="00AB0C9E">
      <w:pPr>
        <w:spacing w:after="0" w:line="360" w:lineRule="auto"/>
        <w:jc w:val="both"/>
        <w:rPr>
          <w:rFonts w:asciiTheme="minorHAnsi" w:eastAsia="Times New Roman" w:hAnsiTheme="minorHAnsi" w:cstheme="minorHAnsi"/>
          <w:sz w:val="24"/>
          <w:szCs w:val="20"/>
          <w:lang w:val="en-US" w:eastAsia="el-GR"/>
        </w:rPr>
      </w:pPr>
      <w:r w:rsidRPr="00AB0C9E">
        <w:rPr>
          <w:rFonts w:asciiTheme="minorHAnsi" w:eastAsia="Times New Roman" w:hAnsiTheme="minorHAnsi" w:cstheme="minorHAnsi"/>
          <w:sz w:val="24"/>
          <w:szCs w:val="20"/>
          <w:lang w:val="en-US" w:eastAsia="el-GR"/>
        </w:rPr>
        <w:t xml:space="preserve">1. Thematic or inter-thematic tours aimed at either the general public or special groups (walks, hiking, cycling, </w:t>
      </w:r>
      <w:proofErr w:type="spellStart"/>
      <w:r w:rsidRPr="00AB0C9E">
        <w:rPr>
          <w:rFonts w:asciiTheme="minorHAnsi" w:eastAsia="Times New Roman" w:hAnsiTheme="minorHAnsi" w:cstheme="minorHAnsi"/>
          <w:sz w:val="24"/>
          <w:szCs w:val="20"/>
          <w:lang w:val="en-US" w:eastAsia="el-GR"/>
        </w:rPr>
        <w:t>horseriding</w:t>
      </w:r>
      <w:proofErr w:type="spellEnd"/>
      <w:r w:rsidRPr="00AB0C9E">
        <w:rPr>
          <w:rFonts w:asciiTheme="minorHAnsi" w:eastAsia="Times New Roman" w:hAnsiTheme="minorHAnsi" w:cstheme="minorHAnsi"/>
          <w:sz w:val="24"/>
          <w:szCs w:val="20"/>
          <w:lang w:val="en-US" w:eastAsia="el-GR"/>
        </w:rPr>
        <w:t xml:space="preserve"> routes etc.)</w:t>
      </w:r>
    </w:p>
    <w:p w14:paraId="4F69D053" w14:textId="77777777" w:rsidR="00AB0C9E" w:rsidRPr="00AB0C9E" w:rsidRDefault="00AB0C9E" w:rsidP="00AB0C9E">
      <w:pPr>
        <w:spacing w:after="0" w:line="360" w:lineRule="auto"/>
        <w:jc w:val="both"/>
        <w:rPr>
          <w:rFonts w:asciiTheme="minorHAnsi" w:eastAsia="Times New Roman" w:hAnsiTheme="minorHAnsi" w:cstheme="minorHAnsi"/>
          <w:sz w:val="24"/>
          <w:szCs w:val="20"/>
          <w:lang w:val="en-US" w:eastAsia="el-GR"/>
        </w:rPr>
      </w:pPr>
      <w:r w:rsidRPr="00AB0C9E">
        <w:rPr>
          <w:rFonts w:asciiTheme="minorHAnsi" w:eastAsia="Times New Roman" w:hAnsiTheme="minorHAnsi" w:cstheme="minorHAnsi"/>
          <w:sz w:val="24"/>
          <w:szCs w:val="20"/>
          <w:lang w:val="en-US" w:eastAsia="el-GR"/>
        </w:rPr>
        <w:t xml:space="preserve">2. Educational </w:t>
      </w:r>
      <w:proofErr w:type="spellStart"/>
      <w:r w:rsidRPr="00AB0C9E">
        <w:rPr>
          <w:rFonts w:asciiTheme="minorHAnsi" w:eastAsia="Times New Roman" w:hAnsiTheme="minorHAnsi" w:cstheme="minorHAnsi"/>
          <w:sz w:val="24"/>
          <w:szCs w:val="20"/>
          <w:lang w:val="en-US" w:eastAsia="el-GR"/>
        </w:rPr>
        <w:t>programmes</w:t>
      </w:r>
      <w:proofErr w:type="spellEnd"/>
    </w:p>
    <w:p w14:paraId="2969D3A9" w14:textId="77777777" w:rsidR="00AB0C9E" w:rsidRPr="00AB0C9E" w:rsidRDefault="00AB0C9E" w:rsidP="00AB0C9E">
      <w:pPr>
        <w:spacing w:after="0" w:line="360" w:lineRule="auto"/>
        <w:jc w:val="both"/>
        <w:rPr>
          <w:rFonts w:asciiTheme="minorHAnsi" w:eastAsia="Times New Roman" w:hAnsiTheme="minorHAnsi" w:cstheme="minorHAnsi"/>
          <w:sz w:val="24"/>
          <w:szCs w:val="20"/>
          <w:lang w:val="en-US" w:eastAsia="el-GR"/>
        </w:rPr>
      </w:pPr>
      <w:r w:rsidRPr="00AB0C9E">
        <w:rPr>
          <w:rFonts w:asciiTheme="minorHAnsi" w:eastAsia="Times New Roman" w:hAnsiTheme="minorHAnsi" w:cstheme="minorHAnsi"/>
          <w:sz w:val="24"/>
          <w:szCs w:val="20"/>
          <w:lang w:val="en-US" w:eastAsia="el-GR"/>
        </w:rPr>
        <w:t>3. Visual arts workshops/courses</w:t>
      </w:r>
    </w:p>
    <w:p w14:paraId="5BE9D1E9" w14:textId="77777777" w:rsidR="00AB0C9E" w:rsidRPr="00AB0C9E" w:rsidRDefault="00AB0C9E" w:rsidP="00AB0C9E">
      <w:pPr>
        <w:spacing w:after="0" w:line="360" w:lineRule="auto"/>
        <w:jc w:val="both"/>
        <w:rPr>
          <w:rFonts w:asciiTheme="minorHAnsi" w:eastAsia="Times New Roman" w:hAnsiTheme="minorHAnsi" w:cstheme="minorHAnsi"/>
          <w:sz w:val="24"/>
          <w:szCs w:val="20"/>
          <w:lang w:val="en-US" w:eastAsia="el-GR"/>
        </w:rPr>
      </w:pPr>
      <w:r w:rsidRPr="00AB0C9E">
        <w:rPr>
          <w:rFonts w:asciiTheme="minorHAnsi" w:eastAsia="Times New Roman" w:hAnsiTheme="minorHAnsi" w:cstheme="minorHAnsi"/>
          <w:sz w:val="24"/>
          <w:szCs w:val="20"/>
          <w:lang w:val="en-US" w:eastAsia="el-GR"/>
        </w:rPr>
        <w:t>4 Lectures-seminars on a variety of themes associated with the campaign</w:t>
      </w:r>
    </w:p>
    <w:p w14:paraId="3426B77B" w14:textId="77777777" w:rsidR="00AB0C9E" w:rsidRPr="00AB0C9E" w:rsidRDefault="00AB0C9E" w:rsidP="00AB0C9E">
      <w:pPr>
        <w:spacing w:after="0" w:line="360" w:lineRule="auto"/>
        <w:jc w:val="both"/>
        <w:rPr>
          <w:rFonts w:asciiTheme="minorHAnsi" w:eastAsia="Times New Roman" w:hAnsiTheme="minorHAnsi" w:cstheme="minorHAnsi"/>
          <w:sz w:val="24"/>
          <w:szCs w:val="20"/>
          <w:lang w:val="en-US" w:eastAsia="el-GR"/>
        </w:rPr>
      </w:pPr>
      <w:r w:rsidRPr="00AB0C9E">
        <w:rPr>
          <w:rFonts w:asciiTheme="minorHAnsi" w:eastAsia="Times New Roman" w:hAnsiTheme="minorHAnsi" w:cstheme="minorHAnsi"/>
          <w:sz w:val="24"/>
          <w:szCs w:val="20"/>
          <w:lang w:val="en-US" w:eastAsia="el-GR"/>
        </w:rPr>
        <w:t xml:space="preserve">5 Performances (concerts, theatrical and dancing acts </w:t>
      </w:r>
      <w:proofErr w:type="spellStart"/>
      <w:r w:rsidRPr="00AB0C9E">
        <w:rPr>
          <w:rFonts w:asciiTheme="minorHAnsi" w:eastAsia="Times New Roman" w:hAnsiTheme="minorHAnsi" w:cstheme="minorHAnsi"/>
          <w:sz w:val="24"/>
          <w:szCs w:val="20"/>
          <w:lang w:val="en-US" w:eastAsia="el-GR"/>
        </w:rPr>
        <w:t>etc</w:t>
      </w:r>
      <w:proofErr w:type="spellEnd"/>
      <w:r w:rsidRPr="00AB0C9E">
        <w:rPr>
          <w:rFonts w:asciiTheme="minorHAnsi" w:eastAsia="Times New Roman" w:hAnsiTheme="minorHAnsi" w:cstheme="minorHAnsi"/>
          <w:sz w:val="24"/>
          <w:szCs w:val="20"/>
          <w:lang w:val="en-US" w:eastAsia="el-GR"/>
        </w:rPr>
        <w:t>)</w:t>
      </w:r>
    </w:p>
    <w:p w14:paraId="4C59A95F" w14:textId="77777777" w:rsidR="00AB0C9E" w:rsidRPr="00AB0C9E" w:rsidRDefault="00AB0C9E" w:rsidP="00AB0C9E">
      <w:pPr>
        <w:spacing w:after="0" w:line="360" w:lineRule="auto"/>
        <w:jc w:val="both"/>
        <w:rPr>
          <w:rFonts w:asciiTheme="minorHAnsi" w:eastAsia="Times New Roman" w:hAnsiTheme="minorHAnsi" w:cstheme="minorHAnsi"/>
          <w:sz w:val="24"/>
          <w:szCs w:val="20"/>
          <w:lang w:val="en-US" w:eastAsia="el-GR"/>
        </w:rPr>
      </w:pPr>
      <w:r w:rsidRPr="00AB0C9E">
        <w:rPr>
          <w:rFonts w:asciiTheme="minorHAnsi" w:eastAsia="Times New Roman" w:hAnsiTheme="minorHAnsi" w:cstheme="minorHAnsi"/>
          <w:sz w:val="24"/>
          <w:szCs w:val="20"/>
          <w:lang w:val="en-US" w:eastAsia="el-GR"/>
        </w:rPr>
        <w:t>6 Valorization and improvement of archaeological sites</w:t>
      </w:r>
    </w:p>
    <w:p w14:paraId="26C38A7D" w14:textId="15DEF5A3" w:rsidR="00AB0C9E" w:rsidRPr="00AB0C9E" w:rsidRDefault="00AB0C9E" w:rsidP="00AB0C9E">
      <w:pPr>
        <w:spacing w:after="0" w:line="360" w:lineRule="auto"/>
        <w:jc w:val="both"/>
        <w:rPr>
          <w:rFonts w:asciiTheme="minorHAnsi" w:eastAsia="Times New Roman" w:hAnsiTheme="minorHAnsi" w:cstheme="minorHAnsi"/>
          <w:sz w:val="24"/>
          <w:szCs w:val="20"/>
          <w:lang w:val="en-US" w:eastAsia="el-GR"/>
        </w:rPr>
      </w:pPr>
      <w:r w:rsidRPr="00AB0C9E">
        <w:rPr>
          <w:rFonts w:asciiTheme="minorHAnsi" w:eastAsia="Times New Roman" w:hAnsiTheme="minorHAnsi" w:cstheme="minorHAnsi"/>
          <w:sz w:val="24"/>
          <w:szCs w:val="20"/>
          <w:lang w:val="en-US" w:eastAsia="el-GR"/>
        </w:rPr>
        <w:t>7 Planting in urban public spaces etc.</w:t>
      </w:r>
    </w:p>
    <w:p w14:paraId="36A4A33F" w14:textId="77777777" w:rsidR="00AB0C9E" w:rsidRPr="00AB0C9E" w:rsidRDefault="00AB0C9E" w:rsidP="00AB0C9E">
      <w:pPr>
        <w:spacing w:after="0" w:line="360" w:lineRule="auto"/>
        <w:jc w:val="both"/>
        <w:rPr>
          <w:rFonts w:asciiTheme="minorHAnsi" w:eastAsia="Times New Roman" w:hAnsiTheme="minorHAnsi" w:cstheme="minorHAnsi"/>
          <w:sz w:val="24"/>
          <w:szCs w:val="20"/>
          <w:lang w:val="en-US" w:eastAsia="el-GR"/>
        </w:rPr>
      </w:pPr>
    </w:p>
    <w:p w14:paraId="65176673" w14:textId="77777777" w:rsidR="00AB0C9E" w:rsidRPr="00AB0C9E" w:rsidRDefault="00AB0C9E" w:rsidP="00AB0C9E">
      <w:pPr>
        <w:spacing w:after="0" w:line="360" w:lineRule="auto"/>
        <w:jc w:val="both"/>
        <w:rPr>
          <w:rFonts w:asciiTheme="minorHAnsi" w:eastAsia="Times New Roman" w:hAnsiTheme="minorHAnsi" w:cstheme="minorHAnsi"/>
          <w:sz w:val="24"/>
          <w:szCs w:val="20"/>
          <w:lang w:val="en-US" w:eastAsia="el-GR"/>
        </w:rPr>
      </w:pPr>
      <w:r w:rsidRPr="00AB0C9E">
        <w:rPr>
          <w:rFonts w:asciiTheme="minorHAnsi" w:eastAsia="Times New Roman" w:hAnsiTheme="minorHAnsi" w:cstheme="minorHAnsi"/>
          <w:sz w:val="24"/>
          <w:szCs w:val="20"/>
          <w:lang w:val="en-US" w:eastAsia="el-GR"/>
        </w:rPr>
        <w:t>Green Cultural Routes aim is to:</w:t>
      </w:r>
    </w:p>
    <w:p w14:paraId="4DC23D51" w14:textId="77777777" w:rsidR="00AB0C9E" w:rsidRPr="00AB0C9E" w:rsidRDefault="00AB0C9E" w:rsidP="00AB0C9E">
      <w:pPr>
        <w:spacing w:after="0" w:line="360" w:lineRule="auto"/>
        <w:jc w:val="both"/>
        <w:rPr>
          <w:rFonts w:asciiTheme="minorHAnsi" w:eastAsia="Times New Roman" w:hAnsiTheme="minorHAnsi" w:cstheme="minorHAnsi"/>
          <w:sz w:val="24"/>
          <w:szCs w:val="20"/>
          <w:lang w:val="en-US" w:eastAsia="el-GR"/>
        </w:rPr>
      </w:pPr>
      <w:r w:rsidRPr="00AB0C9E">
        <w:rPr>
          <w:rFonts w:asciiTheme="minorHAnsi" w:eastAsia="Times New Roman" w:hAnsiTheme="minorHAnsi" w:cstheme="minorHAnsi"/>
          <w:sz w:val="24"/>
          <w:szCs w:val="20"/>
          <w:lang w:val="en-US" w:eastAsia="el-GR"/>
        </w:rPr>
        <w:lastRenderedPageBreak/>
        <w:t>- promote sustainable development by educating citizens on issues associated with the protection and valorization of the cultural wealth as well as the natural environment of the country</w:t>
      </w:r>
    </w:p>
    <w:p w14:paraId="2FB729B6" w14:textId="77777777" w:rsidR="00AB0C9E" w:rsidRPr="00AB0C9E" w:rsidRDefault="00AB0C9E" w:rsidP="00AB0C9E">
      <w:pPr>
        <w:spacing w:after="0" w:line="360" w:lineRule="auto"/>
        <w:jc w:val="both"/>
        <w:rPr>
          <w:rFonts w:asciiTheme="minorHAnsi" w:eastAsia="Times New Roman" w:hAnsiTheme="minorHAnsi" w:cstheme="minorHAnsi"/>
          <w:sz w:val="24"/>
          <w:szCs w:val="20"/>
          <w:lang w:val="en-US" w:eastAsia="el-GR"/>
        </w:rPr>
      </w:pPr>
      <w:r w:rsidRPr="00AB0C9E">
        <w:rPr>
          <w:rFonts w:asciiTheme="minorHAnsi" w:eastAsia="Times New Roman" w:hAnsiTheme="minorHAnsi" w:cstheme="minorHAnsi"/>
          <w:sz w:val="24"/>
          <w:szCs w:val="20"/>
          <w:lang w:val="en-US" w:eastAsia="el-GR"/>
        </w:rPr>
        <w:t>-draw attention to the local cultural identity and historical tradition </w:t>
      </w:r>
    </w:p>
    <w:p w14:paraId="20C80A6E" w14:textId="77777777" w:rsidR="00AB0C9E" w:rsidRPr="00AB0C9E" w:rsidRDefault="00AB0C9E" w:rsidP="00AB0C9E">
      <w:pPr>
        <w:spacing w:after="0" w:line="360" w:lineRule="auto"/>
        <w:jc w:val="both"/>
        <w:rPr>
          <w:rFonts w:asciiTheme="minorHAnsi" w:eastAsia="Times New Roman" w:hAnsiTheme="minorHAnsi" w:cstheme="minorHAnsi"/>
          <w:sz w:val="24"/>
          <w:szCs w:val="20"/>
          <w:lang w:val="en-US" w:eastAsia="el-GR"/>
        </w:rPr>
      </w:pPr>
      <w:r w:rsidRPr="00AB0C9E">
        <w:rPr>
          <w:rFonts w:asciiTheme="minorHAnsi" w:eastAsia="Times New Roman" w:hAnsiTheme="minorHAnsi" w:cstheme="minorHAnsi"/>
          <w:sz w:val="24"/>
          <w:szCs w:val="20"/>
          <w:lang w:val="en-US" w:eastAsia="el-GR"/>
        </w:rPr>
        <w:t>-protect nature and biodiversity</w:t>
      </w:r>
    </w:p>
    <w:p w14:paraId="3544D33C" w14:textId="77777777" w:rsidR="00AB0C9E" w:rsidRPr="00AB0C9E" w:rsidRDefault="00AB0C9E" w:rsidP="00AB0C9E">
      <w:pPr>
        <w:spacing w:after="0" w:line="360" w:lineRule="auto"/>
        <w:jc w:val="both"/>
        <w:rPr>
          <w:rFonts w:asciiTheme="minorHAnsi" w:eastAsia="Times New Roman" w:hAnsiTheme="minorHAnsi" w:cstheme="minorHAnsi"/>
          <w:sz w:val="24"/>
          <w:szCs w:val="20"/>
          <w:lang w:val="en-US" w:eastAsia="el-GR"/>
        </w:rPr>
      </w:pPr>
      <w:r w:rsidRPr="00AB0C9E">
        <w:rPr>
          <w:rFonts w:asciiTheme="minorHAnsi" w:eastAsia="Times New Roman" w:hAnsiTheme="minorHAnsi" w:cstheme="minorHAnsi"/>
          <w:sz w:val="24"/>
          <w:szCs w:val="20"/>
          <w:lang w:val="en-US" w:eastAsia="el-GR"/>
        </w:rPr>
        <w:t>-motivate as many social groups as possible</w:t>
      </w:r>
    </w:p>
    <w:p w14:paraId="2C688442" w14:textId="77777777" w:rsidR="00AB0C9E" w:rsidRPr="00AB0C9E" w:rsidRDefault="00AB0C9E" w:rsidP="00AB0C9E">
      <w:pPr>
        <w:spacing w:after="0" w:line="360" w:lineRule="auto"/>
        <w:jc w:val="both"/>
        <w:rPr>
          <w:rFonts w:asciiTheme="minorHAnsi" w:eastAsia="Times New Roman" w:hAnsiTheme="minorHAnsi" w:cstheme="minorHAnsi"/>
          <w:sz w:val="24"/>
          <w:szCs w:val="20"/>
          <w:lang w:val="en-US" w:eastAsia="el-GR"/>
        </w:rPr>
      </w:pPr>
      <w:r w:rsidRPr="00AB0C9E">
        <w:rPr>
          <w:rFonts w:asciiTheme="minorHAnsi" w:eastAsia="Times New Roman" w:hAnsiTheme="minorHAnsi" w:cstheme="minorHAnsi"/>
          <w:sz w:val="24"/>
          <w:szCs w:val="20"/>
          <w:lang w:val="en-US" w:eastAsia="el-GR"/>
        </w:rPr>
        <w:t>-enhance tourist development through various activities and events that harmonize each time with the landscape and the local historical and cultural tradition </w:t>
      </w:r>
    </w:p>
    <w:p w14:paraId="40A69B30" w14:textId="258226B6" w:rsidR="00AB0C9E" w:rsidRPr="00AB0C9E" w:rsidRDefault="00AB0C9E" w:rsidP="00AB0C9E">
      <w:pPr>
        <w:spacing w:after="0" w:line="360" w:lineRule="auto"/>
        <w:jc w:val="both"/>
        <w:rPr>
          <w:rFonts w:asciiTheme="minorHAnsi" w:eastAsia="Times New Roman" w:hAnsiTheme="minorHAnsi" w:cstheme="minorHAnsi"/>
          <w:sz w:val="24"/>
          <w:szCs w:val="20"/>
          <w:lang w:val="en-US" w:eastAsia="el-GR"/>
        </w:rPr>
      </w:pPr>
      <w:r w:rsidRPr="00AB0C9E">
        <w:rPr>
          <w:rFonts w:asciiTheme="minorHAnsi" w:eastAsia="Times New Roman" w:hAnsiTheme="minorHAnsi" w:cstheme="minorHAnsi"/>
          <w:sz w:val="24"/>
          <w:szCs w:val="20"/>
          <w:lang w:val="en-US" w:eastAsia="el-GR"/>
        </w:rPr>
        <w:t>-raise public awareness on respect and understanding of different cultures </w:t>
      </w:r>
    </w:p>
    <w:p w14:paraId="529C57A7" w14:textId="77777777" w:rsidR="00AB0C9E" w:rsidRPr="00AB0C9E" w:rsidRDefault="00AB0C9E" w:rsidP="00AB0C9E">
      <w:pPr>
        <w:jc w:val="both"/>
        <w:rPr>
          <w:rFonts w:asciiTheme="minorHAnsi" w:eastAsia="Calibri" w:hAnsiTheme="minorHAnsi" w:cstheme="minorHAnsi"/>
          <w:sz w:val="28"/>
          <w:lang w:val="en-US"/>
        </w:rPr>
      </w:pPr>
    </w:p>
    <w:p w14:paraId="3B70111B" w14:textId="77777777" w:rsidR="00AB0C9E" w:rsidRPr="00DA5D51" w:rsidRDefault="00AB0C9E" w:rsidP="00AB0C9E">
      <w:pPr>
        <w:pStyle w:val="af"/>
        <w:jc w:val="both"/>
        <w:rPr>
          <w:rFonts w:ascii="Calibri" w:hAnsi="Calibri" w:cs="Calibri"/>
          <w:sz w:val="24"/>
          <w:szCs w:val="24"/>
          <w:lang w:val="en-US"/>
        </w:rPr>
      </w:pPr>
    </w:p>
    <w:sectPr w:rsidR="00AB0C9E" w:rsidRPr="00DA5D51">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26D92"/>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0C9E"/>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EE89E473-4DB2-4C5F-8AA4-3E5F8391C247}"/>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2898</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Πράσινες Πολιτιστικές Διαδρομές 23-26 Μαΐου 2024</dc:title>
  <dc:subject/>
  <dc:creator>Quest User</dc:creator>
  <cp:keywords/>
  <cp:lastModifiedBy>Ελευθερία Πελτέκη</cp:lastModifiedBy>
  <cp:revision>2</cp:revision>
  <cp:lastPrinted>2012-06-29T01:16:00Z</cp:lastPrinted>
  <dcterms:created xsi:type="dcterms:W3CDTF">2024-05-22T12:23:00Z</dcterms:created>
  <dcterms:modified xsi:type="dcterms:W3CDTF">2024-05-22T12:23:00Z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